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5F25F3" w:rsidRDefault="00AC34F1">
      <w:r>
        <w:rPr>
          <w:noProof/>
        </w:rPr>
        <w:pict>
          <v:shapetype id="_x0000_t202" coordsize="21600,21600" o:spt="202" path="m,l,21600r21600,l21600,xe">
            <v:stroke joinstyle="miter"/>
            <v:path gradientshapeok="t" o:connecttype="rect"/>
          </v:shapetype>
          <v:shape id="_x0000_s1026" type="#_x0000_t202" style="position:absolute;margin-left:-32.9pt;margin-top:11.05pt;width:555.75pt;height:402pt;z-index:251658240" fillcolor="#92cddc [1944]" strokecolor="white [3212]">
            <v:textbox>
              <w:txbxContent>
                <w:p w:rsidR="00AC34F1" w:rsidRPr="00A00A55" w:rsidRDefault="00AC34F1" w:rsidP="00AC34F1">
                  <w:pPr>
                    <w:pStyle w:val="ListParagraph"/>
                    <w:spacing w:line="360" w:lineRule="auto"/>
                    <w:ind w:left="90"/>
                    <w:jc w:val="center"/>
                    <w:rPr>
                      <w:rFonts w:ascii="Times New Roman" w:hAnsi="Times New Roman"/>
                      <w:b/>
                      <w:color w:val="0F243E" w:themeColor="text2" w:themeShade="80"/>
                      <w:sz w:val="24"/>
                      <w:szCs w:val="24"/>
                    </w:rPr>
                  </w:pPr>
                  <w:r w:rsidRPr="00A00A55">
                    <w:rPr>
                      <w:rFonts w:ascii="Times New Roman" w:hAnsi="Times New Roman"/>
                      <w:b/>
                      <w:color w:val="0F243E" w:themeColor="text2" w:themeShade="80"/>
                      <w:sz w:val="24"/>
                      <w:szCs w:val="24"/>
                    </w:rPr>
                    <w:t xml:space="preserve">“Correlation between Periodontitis with Pre-Term Birth and Low </w:t>
                  </w:r>
                  <w:r>
                    <w:rPr>
                      <w:rFonts w:ascii="Times New Roman" w:hAnsi="Times New Roman"/>
                      <w:b/>
                      <w:color w:val="0F243E" w:themeColor="text2" w:themeShade="80"/>
                      <w:sz w:val="24"/>
                      <w:szCs w:val="24"/>
                    </w:rPr>
                    <w:t>Birth Weight and Effect of Non-Surgical S</w:t>
                  </w:r>
                  <w:r w:rsidRPr="00A00A55">
                    <w:rPr>
                      <w:rFonts w:ascii="Times New Roman" w:hAnsi="Times New Roman"/>
                      <w:b/>
                      <w:color w:val="0F243E" w:themeColor="text2" w:themeShade="80"/>
                      <w:sz w:val="24"/>
                      <w:szCs w:val="24"/>
                    </w:rPr>
                    <w:t>upportive Pe</w:t>
                  </w:r>
                  <w:r>
                    <w:rPr>
                      <w:rFonts w:ascii="Times New Roman" w:hAnsi="Times New Roman"/>
                      <w:b/>
                      <w:color w:val="0F243E" w:themeColor="text2" w:themeShade="80"/>
                      <w:sz w:val="24"/>
                      <w:szCs w:val="24"/>
                    </w:rPr>
                    <w:t>riodontal Therapy on Pregnancy O</w:t>
                  </w:r>
                  <w:r w:rsidRPr="00A00A55">
                    <w:rPr>
                      <w:rFonts w:ascii="Times New Roman" w:hAnsi="Times New Roman"/>
                      <w:b/>
                      <w:color w:val="0F243E" w:themeColor="text2" w:themeShade="80"/>
                      <w:sz w:val="24"/>
                      <w:szCs w:val="24"/>
                    </w:rPr>
                    <w:t>utcome</w:t>
                  </w:r>
                  <w:r w:rsidRPr="00A00A55">
                    <w:rPr>
                      <w:rFonts w:ascii="Times New Roman" w:hAnsi="Times New Roman"/>
                      <w:color w:val="0F243E" w:themeColor="text2" w:themeShade="80"/>
                      <w:sz w:val="24"/>
                      <w:szCs w:val="24"/>
                    </w:rPr>
                    <w:t xml:space="preserve"> </w:t>
                  </w:r>
                  <w:r>
                    <w:rPr>
                      <w:rFonts w:ascii="Times New Roman" w:hAnsi="Times New Roman"/>
                      <w:b/>
                      <w:color w:val="0F243E" w:themeColor="text2" w:themeShade="80"/>
                      <w:sz w:val="24"/>
                      <w:szCs w:val="24"/>
                    </w:rPr>
                    <w:t>in a Rural set up i</w:t>
                  </w:r>
                  <w:r w:rsidRPr="00A00A55">
                    <w:rPr>
                      <w:rFonts w:ascii="Times New Roman" w:hAnsi="Times New Roman"/>
                      <w:b/>
                      <w:color w:val="0F243E" w:themeColor="text2" w:themeShade="80"/>
                      <w:sz w:val="24"/>
                      <w:szCs w:val="24"/>
                    </w:rPr>
                    <w:t>n India.”</w:t>
                  </w:r>
                </w:p>
                <w:p w:rsidR="00AC34F1" w:rsidRPr="00CF4A56" w:rsidRDefault="00AC34F1" w:rsidP="00AC34F1">
                  <w:pPr>
                    <w:spacing w:after="0" w:line="360" w:lineRule="auto"/>
                    <w:jc w:val="right"/>
                    <w:rPr>
                      <w:rFonts w:asciiTheme="majorHAnsi" w:hAnsiTheme="majorHAnsi"/>
                      <w:sz w:val="20"/>
                      <w:szCs w:val="20"/>
                    </w:rPr>
                  </w:pPr>
                  <w:r w:rsidRPr="00CF4A56">
                    <w:rPr>
                      <w:rFonts w:asciiTheme="majorHAnsi" w:hAnsiTheme="majorHAnsi"/>
                      <w:sz w:val="20"/>
                      <w:szCs w:val="20"/>
                      <w:vertAlign w:val="superscript"/>
                    </w:rPr>
                    <w:t>1</w:t>
                  </w:r>
                  <w:r w:rsidRPr="00CF4A56">
                    <w:rPr>
                      <w:rFonts w:asciiTheme="majorHAnsi" w:hAnsiTheme="majorHAnsi"/>
                      <w:sz w:val="20"/>
                      <w:szCs w:val="20"/>
                    </w:rPr>
                    <w:t xml:space="preserve">Dr.Mayur Khairnar, </w:t>
                  </w:r>
                  <w:r w:rsidRPr="00CF4A56">
                    <w:rPr>
                      <w:rFonts w:asciiTheme="majorHAnsi" w:hAnsiTheme="majorHAnsi"/>
                      <w:sz w:val="20"/>
                      <w:szCs w:val="20"/>
                      <w:vertAlign w:val="superscript"/>
                    </w:rPr>
                    <w:t>2</w:t>
                  </w:r>
                  <w:r w:rsidRPr="00CF4A56">
                    <w:rPr>
                      <w:rFonts w:asciiTheme="majorHAnsi" w:hAnsiTheme="majorHAnsi"/>
                      <w:sz w:val="20"/>
                      <w:szCs w:val="20"/>
                    </w:rPr>
                    <w:t xml:space="preserve">Dr. Babita Pawar, </w:t>
                  </w:r>
                  <w:r w:rsidRPr="00CF4A56">
                    <w:rPr>
                      <w:rFonts w:asciiTheme="majorHAnsi" w:hAnsiTheme="majorHAnsi"/>
                      <w:sz w:val="20"/>
                      <w:szCs w:val="20"/>
                      <w:vertAlign w:val="superscript"/>
                    </w:rPr>
                    <w:t>3</w:t>
                  </w:r>
                  <w:r w:rsidRPr="00CF4A56">
                    <w:rPr>
                      <w:rFonts w:asciiTheme="majorHAnsi" w:hAnsiTheme="majorHAnsi"/>
                      <w:sz w:val="20"/>
                      <w:szCs w:val="20"/>
                    </w:rPr>
                    <w:t xml:space="preserve">Dr. P.P. Marawar, </w:t>
                  </w:r>
                  <w:r w:rsidRPr="00CF4A56">
                    <w:rPr>
                      <w:rFonts w:asciiTheme="majorHAnsi" w:hAnsiTheme="majorHAnsi"/>
                      <w:sz w:val="20"/>
                      <w:szCs w:val="20"/>
                      <w:vertAlign w:val="superscript"/>
                    </w:rPr>
                    <w:t>4</w:t>
                  </w:r>
                  <w:r w:rsidRPr="00CF4A56">
                    <w:rPr>
                      <w:rFonts w:asciiTheme="majorHAnsi" w:hAnsiTheme="majorHAnsi"/>
                      <w:sz w:val="20"/>
                      <w:szCs w:val="20"/>
                    </w:rPr>
                    <w:t>Dr Darshana Raut</w:t>
                  </w:r>
                </w:p>
                <w:p w:rsidR="00AC34F1" w:rsidRPr="00CF4A56" w:rsidRDefault="00AC34F1" w:rsidP="00AC34F1">
                  <w:pPr>
                    <w:spacing w:after="0" w:line="360" w:lineRule="auto"/>
                    <w:ind w:left="1440"/>
                    <w:jc w:val="right"/>
                    <w:rPr>
                      <w:rFonts w:asciiTheme="majorHAnsi" w:hAnsiTheme="majorHAnsi"/>
                      <w:sz w:val="20"/>
                      <w:szCs w:val="20"/>
                    </w:rPr>
                  </w:pPr>
                  <w:r w:rsidRPr="00CF4A56">
                    <w:rPr>
                      <w:rFonts w:asciiTheme="majorHAnsi" w:hAnsiTheme="majorHAnsi"/>
                      <w:sz w:val="20"/>
                      <w:szCs w:val="20"/>
                      <w:vertAlign w:val="superscript"/>
                    </w:rPr>
                    <w:t>1</w:t>
                  </w:r>
                  <w:r>
                    <w:rPr>
                      <w:rFonts w:asciiTheme="majorHAnsi" w:hAnsiTheme="majorHAnsi"/>
                      <w:sz w:val="20"/>
                      <w:szCs w:val="20"/>
                      <w:vertAlign w:val="superscript"/>
                    </w:rPr>
                    <w:t xml:space="preserve">, 4 </w:t>
                  </w:r>
                  <w:r w:rsidRPr="00CF4A56">
                    <w:rPr>
                      <w:rFonts w:asciiTheme="majorHAnsi" w:hAnsiTheme="majorHAnsi"/>
                      <w:sz w:val="20"/>
                      <w:szCs w:val="20"/>
                    </w:rPr>
                    <w:t>Precision Dental Clinic &amp; Implant Center, Thane, Maharashtra,India.</w:t>
                  </w:r>
                </w:p>
                <w:p w:rsidR="00AC34F1" w:rsidRDefault="00AC34F1" w:rsidP="00AC34F1">
                  <w:pPr>
                    <w:spacing w:after="0" w:line="360" w:lineRule="auto"/>
                    <w:ind w:firstLine="720"/>
                    <w:jc w:val="right"/>
                    <w:rPr>
                      <w:rFonts w:asciiTheme="majorHAnsi" w:hAnsiTheme="majorHAnsi"/>
                      <w:sz w:val="20"/>
                      <w:szCs w:val="20"/>
                    </w:rPr>
                  </w:pPr>
                  <w:r w:rsidRPr="00A00A55">
                    <w:rPr>
                      <w:rFonts w:asciiTheme="majorHAnsi" w:hAnsiTheme="majorHAnsi"/>
                      <w:sz w:val="20"/>
                      <w:szCs w:val="20"/>
                      <w:vertAlign w:val="superscript"/>
                    </w:rPr>
                    <w:t>2, 3,</w:t>
                  </w:r>
                  <w:r w:rsidRPr="00CF4A56">
                    <w:rPr>
                      <w:rFonts w:asciiTheme="majorHAnsi" w:hAnsiTheme="majorHAnsi"/>
                      <w:iCs/>
                      <w:sz w:val="20"/>
                      <w:szCs w:val="20"/>
                    </w:rPr>
                    <w:t xml:space="preserve"> Rural Dental College, Pravara Institute of Medical Sciences, Loni</w:t>
                  </w:r>
                </w:p>
                <w:p w:rsidR="00AC34F1" w:rsidRDefault="00AC34F1" w:rsidP="00AC34F1">
                  <w:pPr>
                    <w:spacing w:after="0" w:line="360" w:lineRule="auto"/>
                    <w:ind w:firstLine="720"/>
                    <w:jc w:val="right"/>
                    <w:rPr>
                      <w:rFonts w:asciiTheme="majorHAnsi" w:hAnsiTheme="majorHAnsi"/>
                      <w:sz w:val="20"/>
                      <w:szCs w:val="20"/>
                    </w:rPr>
                  </w:pPr>
                  <w:r w:rsidRPr="00CF4A56">
                    <w:rPr>
                      <w:rFonts w:asciiTheme="majorHAnsi" w:hAnsiTheme="majorHAnsi"/>
                      <w:b/>
                      <w:sz w:val="20"/>
                      <w:szCs w:val="20"/>
                    </w:rPr>
                    <w:t>Corresponding author:</w:t>
                  </w:r>
                  <w:r w:rsidRPr="00CF4A56">
                    <w:rPr>
                      <w:rFonts w:asciiTheme="majorHAnsi" w:hAnsiTheme="majorHAnsi"/>
                      <w:sz w:val="20"/>
                      <w:szCs w:val="20"/>
                    </w:rPr>
                    <w:t xml:space="preserve"> Dr.Mayur Khairnar; Email:  </w:t>
                  </w:r>
                  <w:r w:rsidRPr="00A00A55">
                    <w:rPr>
                      <w:rFonts w:asciiTheme="majorHAnsi" w:hAnsiTheme="majorHAnsi"/>
                      <w:sz w:val="20"/>
                      <w:szCs w:val="20"/>
                    </w:rPr>
                    <w:t>drmayurkhairnar@gmail.com</w:t>
                  </w:r>
                </w:p>
                <w:p w:rsidR="00AC34F1" w:rsidRPr="00CF4A56" w:rsidRDefault="00AC34F1" w:rsidP="00AC34F1">
                  <w:pPr>
                    <w:spacing w:after="0" w:line="360" w:lineRule="auto"/>
                    <w:rPr>
                      <w:rFonts w:asciiTheme="majorHAnsi" w:hAnsiTheme="majorHAnsi"/>
                      <w:sz w:val="20"/>
                      <w:szCs w:val="20"/>
                    </w:rPr>
                  </w:pPr>
                  <w:r>
                    <w:rPr>
                      <w:rFonts w:asciiTheme="majorHAnsi" w:hAnsiTheme="majorHAnsi"/>
                      <w:sz w:val="20"/>
                      <w:szCs w:val="20"/>
                    </w:rPr>
                    <w:t>………………………………………………………………………………………………………………………………………………………....................................................</w:t>
                  </w:r>
                </w:p>
                <w:p w:rsidR="00AC34F1" w:rsidRDefault="00AC34F1" w:rsidP="00AC34F1">
                  <w:pPr>
                    <w:spacing w:after="0" w:line="360" w:lineRule="auto"/>
                    <w:jc w:val="both"/>
                    <w:rPr>
                      <w:rFonts w:ascii="Arial" w:hAnsi="Arial" w:cs="Arial"/>
                      <w:b/>
                    </w:rPr>
                  </w:pPr>
                  <w:r w:rsidRPr="00B5682B">
                    <w:rPr>
                      <w:rFonts w:ascii="Arial" w:hAnsi="Arial" w:cs="Arial"/>
                      <w:b/>
                    </w:rPr>
                    <w:t>Abstract:</w:t>
                  </w:r>
                </w:p>
                <w:p w:rsidR="00AC34F1" w:rsidRPr="00B578E8" w:rsidRDefault="00AC34F1" w:rsidP="00AC34F1">
                  <w:pPr>
                    <w:spacing w:after="0" w:line="360" w:lineRule="auto"/>
                    <w:jc w:val="both"/>
                    <w:rPr>
                      <w:rFonts w:ascii="Arial" w:hAnsi="Arial" w:cs="Arial"/>
                      <w:b/>
                    </w:rPr>
                  </w:pPr>
                  <w:r w:rsidRPr="002A4853">
                    <w:rPr>
                      <w:rFonts w:ascii="Times New Roman" w:hAnsi="Times New Roman" w:cs="Times New Roman"/>
                      <w:b/>
                    </w:rPr>
                    <w:t xml:space="preserve"> </w:t>
                  </w:r>
                  <w:r w:rsidRPr="00B578E8">
                    <w:rPr>
                      <w:rFonts w:ascii="Times New Roman" w:hAnsi="Times New Roman" w:cs="Times New Roman"/>
                      <w:b/>
                      <w:sz w:val="20"/>
                      <w:szCs w:val="20"/>
                    </w:rPr>
                    <w:t>Back Ground:</w:t>
                  </w:r>
                  <w:r w:rsidRPr="00B578E8">
                    <w:rPr>
                      <w:rFonts w:ascii="Times New Roman" w:hAnsi="Times New Roman" w:cs="Times New Roman"/>
                      <w:sz w:val="20"/>
                      <w:szCs w:val="20"/>
                    </w:rPr>
                    <w:t xml:space="preserve"> Strong evidences suggest that maternal infection is a crucial risk factor for preterm Low Birth weight (PTLBW). Like other maternal infection, periodontitis shares common pathogenic mechanism leading to adverse pregnancy outcome.The present study was planned to correlate periodontitis with pregnancy outcomes and evaluate effect of non surgical periodontal therapy on reducing adverse pregnancy outcomes.</w:t>
                  </w:r>
                </w:p>
                <w:p w:rsidR="00AC34F1" w:rsidRPr="00B578E8" w:rsidRDefault="00AC34F1" w:rsidP="00AC34F1">
                  <w:pPr>
                    <w:spacing w:after="0" w:line="360" w:lineRule="auto"/>
                    <w:jc w:val="both"/>
                    <w:rPr>
                      <w:rFonts w:ascii="Times New Roman" w:hAnsi="Times New Roman" w:cs="Times New Roman"/>
                      <w:sz w:val="20"/>
                      <w:szCs w:val="20"/>
                    </w:rPr>
                  </w:pPr>
                  <w:r w:rsidRPr="00B578E8">
                    <w:rPr>
                      <w:rFonts w:ascii="Times New Roman" w:hAnsi="Times New Roman" w:cs="Times New Roman"/>
                      <w:b/>
                      <w:sz w:val="20"/>
                      <w:szCs w:val="20"/>
                    </w:rPr>
                    <w:t xml:space="preserve">Material &amp; Methods: </w:t>
                  </w:r>
                  <w:r w:rsidRPr="00B578E8">
                    <w:rPr>
                      <w:rFonts w:ascii="Times New Roman" w:hAnsi="Times New Roman" w:cs="Times New Roman"/>
                      <w:sz w:val="20"/>
                      <w:szCs w:val="20"/>
                    </w:rPr>
                    <w:t xml:space="preserve">100 pregnant women with periodontitis were randomly assigned to experimental and control groups. </w:t>
                  </w:r>
                </w:p>
                <w:p w:rsidR="00AC34F1" w:rsidRPr="00B578E8" w:rsidRDefault="00AC34F1" w:rsidP="00AC34F1">
                  <w:pPr>
                    <w:spacing w:after="0" w:line="360" w:lineRule="auto"/>
                    <w:jc w:val="both"/>
                    <w:rPr>
                      <w:rFonts w:ascii="Times New Roman" w:hAnsi="Times New Roman" w:cs="Times New Roman"/>
                      <w:sz w:val="20"/>
                      <w:szCs w:val="20"/>
                    </w:rPr>
                  </w:pPr>
                  <w:r w:rsidRPr="00B578E8">
                    <w:rPr>
                      <w:rFonts w:ascii="Times New Roman" w:hAnsi="Times New Roman" w:cs="Times New Roman"/>
                      <w:b/>
                      <w:sz w:val="20"/>
                      <w:szCs w:val="20"/>
                    </w:rPr>
                    <w:t>Results:</w:t>
                  </w:r>
                  <w:r w:rsidRPr="00B578E8">
                    <w:rPr>
                      <w:rFonts w:ascii="Times New Roman" w:hAnsi="Times New Roman" w:cs="Times New Roman"/>
                      <w:sz w:val="20"/>
                      <w:szCs w:val="20"/>
                    </w:rPr>
                    <w:t xml:space="preserve"> There were 20 PTBs in the experimental group and 34 PTBs in the control group. There were 17 cases of LBW in the experimental group and 26 in the control group. The mean birth weight was </w:t>
                  </w:r>
                  <w:r w:rsidRPr="00B578E8">
                    <w:rPr>
                      <w:rFonts w:ascii="Times New Roman" w:hAnsi="Times New Roman" w:cs="Times New Roman"/>
                      <w:bCs/>
                      <w:sz w:val="20"/>
                      <w:szCs w:val="20"/>
                    </w:rPr>
                    <w:t>2644.44</w:t>
                  </w:r>
                  <w:r w:rsidRPr="00B578E8">
                    <w:rPr>
                      <w:rFonts w:ascii="Times New Roman" w:hAnsi="Times New Roman" w:cs="Times New Roman"/>
                      <w:sz w:val="20"/>
                      <w:szCs w:val="20"/>
                    </w:rPr>
                    <w:t xml:space="preserve"> ±</w:t>
                  </w:r>
                  <w:r w:rsidRPr="00B578E8">
                    <w:rPr>
                      <w:rFonts w:ascii="Times New Roman" w:hAnsi="Times New Roman" w:cs="Times New Roman"/>
                      <w:bCs/>
                      <w:sz w:val="20"/>
                      <w:szCs w:val="20"/>
                    </w:rPr>
                    <w:t xml:space="preserve"> 450.53</w:t>
                  </w:r>
                  <w:r w:rsidRPr="00B578E8">
                    <w:rPr>
                      <w:rFonts w:ascii="Times New Roman" w:hAnsi="Times New Roman" w:cs="Times New Roman"/>
                      <w:sz w:val="20"/>
                      <w:szCs w:val="20"/>
                    </w:rPr>
                    <w:t xml:space="preserve"> grams  in the experimental group and </w:t>
                  </w:r>
                  <w:r w:rsidRPr="00B578E8">
                    <w:rPr>
                      <w:rFonts w:ascii="Times New Roman" w:hAnsi="Times New Roman" w:cs="Times New Roman"/>
                      <w:bCs/>
                      <w:sz w:val="20"/>
                      <w:szCs w:val="20"/>
                    </w:rPr>
                    <w:t>2447.82</w:t>
                  </w:r>
                  <w:r w:rsidRPr="00B578E8">
                    <w:rPr>
                      <w:rFonts w:ascii="Times New Roman" w:hAnsi="Times New Roman" w:cs="Times New Roman"/>
                      <w:sz w:val="20"/>
                      <w:szCs w:val="20"/>
                    </w:rPr>
                    <w:t xml:space="preserve"> </w:t>
                  </w:r>
                  <w:r w:rsidRPr="00B578E8">
                    <w:rPr>
                      <w:rFonts w:ascii="Times New Roman" w:hAnsi="Times New Roman" w:cs="Times New Roman"/>
                      <w:bCs/>
                      <w:sz w:val="20"/>
                      <w:szCs w:val="20"/>
                    </w:rPr>
                    <w:t>± 368.02</w:t>
                  </w:r>
                  <w:r w:rsidRPr="00B578E8">
                    <w:rPr>
                      <w:rFonts w:ascii="Times New Roman" w:hAnsi="Times New Roman" w:cs="Times New Roman"/>
                      <w:sz w:val="20"/>
                      <w:szCs w:val="20"/>
                    </w:rPr>
                    <w:t xml:space="preserve"> grams  in the control group with the difference being statistically significant at </w:t>
                  </w:r>
                  <w:r w:rsidRPr="00B578E8">
                    <w:rPr>
                      <w:rFonts w:ascii="Times New Roman" w:hAnsi="Times New Roman" w:cs="Times New Roman"/>
                      <w:bCs/>
                      <w:sz w:val="20"/>
                      <w:szCs w:val="20"/>
                    </w:rPr>
                    <w:t>p&lt;0.05. The Mean</w:t>
                  </w:r>
                  <w:r w:rsidRPr="00B578E8">
                    <w:rPr>
                      <w:rFonts w:ascii="Times New Roman" w:hAnsi="Times New Roman" w:cs="Times New Roman"/>
                      <w:sz w:val="20"/>
                      <w:szCs w:val="20"/>
                    </w:rPr>
                    <w:t xml:space="preserve"> gestational age in the experimental group was </w:t>
                  </w:r>
                  <w:r w:rsidRPr="00B578E8">
                    <w:rPr>
                      <w:rFonts w:ascii="Times New Roman" w:hAnsi="Times New Roman" w:cs="Times New Roman"/>
                      <w:bCs/>
                      <w:sz w:val="20"/>
                      <w:szCs w:val="20"/>
                    </w:rPr>
                    <w:t xml:space="preserve">35.57 </w:t>
                  </w:r>
                  <w:r w:rsidRPr="00B578E8">
                    <w:rPr>
                      <w:rFonts w:ascii="Times New Roman" w:eastAsia="Arial Unicode MS" w:hAnsi="Times New Roman" w:cs="Times New Roman"/>
                      <w:sz w:val="20"/>
                      <w:szCs w:val="20"/>
                    </w:rPr>
                    <w:t xml:space="preserve">± </w:t>
                  </w:r>
                  <w:r w:rsidRPr="00B578E8">
                    <w:rPr>
                      <w:rFonts w:ascii="Times New Roman" w:hAnsi="Times New Roman" w:cs="Times New Roman"/>
                      <w:bCs/>
                      <w:sz w:val="20"/>
                      <w:szCs w:val="20"/>
                    </w:rPr>
                    <w:t>2.40 weeks</w:t>
                  </w:r>
                  <w:r w:rsidRPr="00B578E8">
                    <w:rPr>
                      <w:rFonts w:ascii="Times New Roman" w:hAnsi="Times New Roman" w:cs="Times New Roman"/>
                      <w:sz w:val="20"/>
                      <w:szCs w:val="20"/>
                    </w:rPr>
                    <w:t xml:space="preserve"> and </w:t>
                  </w:r>
                  <w:r w:rsidRPr="00B578E8">
                    <w:rPr>
                      <w:rFonts w:ascii="Times New Roman" w:hAnsi="Times New Roman" w:cs="Times New Roman"/>
                      <w:bCs/>
                      <w:sz w:val="20"/>
                      <w:szCs w:val="20"/>
                    </w:rPr>
                    <w:t>34.17</w:t>
                  </w:r>
                  <w:r w:rsidRPr="00B578E8">
                    <w:rPr>
                      <w:rFonts w:ascii="Times New Roman" w:hAnsi="Times New Roman" w:cs="Times New Roman"/>
                      <w:sz w:val="20"/>
                      <w:szCs w:val="20"/>
                    </w:rPr>
                    <w:t xml:space="preserve"> ±</w:t>
                  </w:r>
                  <w:r w:rsidRPr="00B578E8">
                    <w:rPr>
                      <w:rFonts w:ascii="Times New Roman" w:hAnsi="Times New Roman" w:cs="Times New Roman"/>
                      <w:bCs/>
                      <w:sz w:val="20"/>
                      <w:szCs w:val="20"/>
                    </w:rPr>
                    <w:t xml:space="preserve"> 2.92 weeks</w:t>
                  </w:r>
                  <w:r w:rsidRPr="00B578E8">
                    <w:rPr>
                      <w:rFonts w:ascii="Times New Roman" w:hAnsi="Times New Roman" w:cs="Times New Roman"/>
                      <w:sz w:val="20"/>
                      <w:szCs w:val="20"/>
                    </w:rPr>
                    <w:t xml:space="preserve"> in the control group. (</w:t>
                  </w:r>
                  <w:r w:rsidRPr="00B578E8">
                    <w:rPr>
                      <w:rFonts w:ascii="Times New Roman" w:hAnsi="Times New Roman" w:cs="Times New Roman"/>
                      <w:bCs/>
                      <w:sz w:val="20"/>
                      <w:szCs w:val="20"/>
                    </w:rPr>
                    <w:t>p&lt;0.05</w:t>
                  </w:r>
                  <w:r w:rsidRPr="00B578E8">
                    <w:rPr>
                      <w:rFonts w:ascii="Times New Roman" w:hAnsi="Times New Roman" w:cs="Times New Roman"/>
                      <w:sz w:val="20"/>
                      <w:szCs w:val="20"/>
                    </w:rPr>
                    <w:t xml:space="preserve">) </w:t>
                  </w:r>
                </w:p>
                <w:p w:rsidR="00AC34F1" w:rsidRPr="00B578E8" w:rsidRDefault="00AC34F1" w:rsidP="00AC34F1">
                  <w:pPr>
                    <w:autoSpaceDE w:val="0"/>
                    <w:autoSpaceDN w:val="0"/>
                    <w:adjustRightInd w:val="0"/>
                    <w:spacing w:after="0" w:line="360" w:lineRule="auto"/>
                    <w:jc w:val="both"/>
                    <w:rPr>
                      <w:rFonts w:ascii="Times New Roman" w:hAnsi="Times New Roman" w:cs="Times New Roman"/>
                      <w:sz w:val="20"/>
                      <w:szCs w:val="20"/>
                    </w:rPr>
                  </w:pPr>
                  <w:r w:rsidRPr="00B578E8">
                    <w:rPr>
                      <w:rFonts w:ascii="Times New Roman" w:hAnsi="Times New Roman" w:cs="Times New Roman"/>
                      <w:b/>
                      <w:sz w:val="20"/>
                      <w:szCs w:val="20"/>
                    </w:rPr>
                    <w:t>Conclusion:</w:t>
                  </w:r>
                  <w:r w:rsidRPr="00B578E8">
                    <w:rPr>
                      <w:rFonts w:ascii="Times New Roman" w:hAnsi="Times New Roman" w:cs="Times New Roman"/>
                      <w:sz w:val="20"/>
                      <w:szCs w:val="20"/>
                    </w:rPr>
                    <w:t xml:space="preserve"> Non-surgical supportive periodontal therapy may reduce the risk for preterm births and Low Birth Weight in mothers who are affected by periodontitis. </w:t>
                  </w:r>
                </w:p>
                <w:p w:rsidR="00AC34F1" w:rsidRPr="00B578E8" w:rsidRDefault="00AC34F1" w:rsidP="00AC34F1">
                  <w:pPr>
                    <w:autoSpaceDE w:val="0"/>
                    <w:autoSpaceDN w:val="0"/>
                    <w:adjustRightInd w:val="0"/>
                    <w:spacing w:after="0" w:line="360" w:lineRule="auto"/>
                    <w:jc w:val="both"/>
                    <w:rPr>
                      <w:rFonts w:ascii="Times New Roman" w:hAnsi="Times New Roman" w:cs="Times New Roman"/>
                      <w:b/>
                      <w:sz w:val="20"/>
                      <w:szCs w:val="20"/>
                    </w:rPr>
                  </w:pPr>
                  <w:r w:rsidRPr="00B578E8">
                    <w:rPr>
                      <w:rFonts w:ascii="Times New Roman" w:hAnsi="Times New Roman" w:cs="Times New Roman"/>
                      <w:b/>
                      <w:sz w:val="20"/>
                      <w:szCs w:val="20"/>
                    </w:rPr>
                    <w:t xml:space="preserve">Key Words: </w:t>
                  </w:r>
                  <w:r w:rsidRPr="00B578E8">
                    <w:rPr>
                      <w:rFonts w:ascii="Times New Roman" w:hAnsi="Times New Roman" w:cs="Times New Roman"/>
                      <w:sz w:val="20"/>
                      <w:szCs w:val="20"/>
                    </w:rPr>
                    <w:t>Preterm Birth (PTB), Low Birth Weight (LBW), Periodontitis.</w:t>
                  </w:r>
                </w:p>
                <w:p w:rsidR="00AC34F1" w:rsidRDefault="00AC34F1" w:rsidP="00AC34F1">
                  <w:pPr>
                    <w:autoSpaceDE w:val="0"/>
                    <w:autoSpaceDN w:val="0"/>
                    <w:adjustRightInd w:val="0"/>
                    <w:spacing w:after="0" w:line="360" w:lineRule="auto"/>
                    <w:jc w:val="both"/>
                    <w:rPr>
                      <w:rFonts w:ascii="Times New Roman" w:hAnsi="Times New Roman" w:cs="Times New Roman"/>
                      <w:sz w:val="20"/>
                      <w:szCs w:val="20"/>
                    </w:rPr>
                  </w:pPr>
                  <w:r w:rsidRPr="00B578E8">
                    <w:rPr>
                      <w:rFonts w:ascii="Times New Roman" w:hAnsi="Times New Roman" w:cs="Times New Roman"/>
                      <w:b/>
                      <w:sz w:val="20"/>
                      <w:szCs w:val="20"/>
                    </w:rPr>
                    <w:t xml:space="preserve">Key Message: </w:t>
                  </w:r>
                  <w:r w:rsidRPr="00B578E8">
                    <w:rPr>
                      <w:rFonts w:ascii="Times New Roman" w:hAnsi="Times New Roman" w:cs="Times New Roman"/>
                      <w:sz w:val="20"/>
                      <w:szCs w:val="20"/>
                    </w:rPr>
                    <w:t>Healthy Mouth renders healthy baby.</w:t>
                  </w:r>
                </w:p>
                <w:p w:rsidR="00AC34F1" w:rsidRPr="00203628" w:rsidRDefault="00AC34F1" w:rsidP="00AC34F1">
                  <w:pPr>
                    <w:autoSpaceDE w:val="0"/>
                    <w:autoSpaceDN w:val="0"/>
                    <w:adjustRightInd w:val="0"/>
                    <w:spacing w:after="0" w:line="360" w:lineRule="auto"/>
                    <w:jc w:val="both"/>
                    <w:rPr>
                      <w:rFonts w:ascii="Times New Roman" w:hAnsi="Times New Roman" w:cs="Times New Roman"/>
                      <w:b/>
                      <w:sz w:val="20"/>
                      <w:szCs w:val="20"/>
                    </w:rPr>
                  </w:pPr>
                  <w:r w:rsidRPr="00203628">
                    <w:rPr>
                      <w:rFonts w:ascii="Times New Roman" w:hAnsi="Times New Roman" w:cs="Times New Roman"/>
                      <w:b/>
                      <w:sz w:val="20"/>
                      <w:szCs w:val="20"/>
                    </w:rPr>
                    <w:t>…………………………………………………………………………………………………………………………………………..</w:t>
                  </w:r>
                </w:p>
                <w:p w:rsidR="00AC34F1" w:rsidRPr="00203628" w:rsidRDefault="00AC34F1" w:rsidP="00AC34F1">
                  <w:pPr>
                    <w:rPr>
                      <w:b/>
                    </w:rPr>
                  </w:pPr>
                </w:p>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3C" w:rsidRDefault="00FC413C" w:rsidP="00AC34F1">
      <w:pPr>
        <w:spacing w:after="0" w:line="240" w:lineRule="auto"/>
      </w:pPr>
      <w:r>
        <w:separator/>
      </w:r>
    </w:p>
  </w:endnote>
  <w:endnote w:type="continuationSeparator" w:id="1">
    <w:p w:rsidR="00FC413C" w:rsidRDefault="00FC413C" w:rsidP="00AC3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F1" w:rsidRPr="00CD10FC" w:rsidRDefault="00AC34F1" w:rsidP="00AC34F1">
    <w:pPr>
      <w:pStyle w:val="Footer"/>
      <w:jc w:val="center"/>
    </w:pPr>
    <w:hyperlink r:id="rId1" w:history="1">
      <w:r w:rsidRPr="00CD10FC">
        <w:rPr>
          <w:rStyle w:val="Hyperlink"/>
          <w:color w:val="auto"/>
          <w:u w:val="none"/>
        </w:rPr>
        <w:t>www.ijhbr.com/abstract</w:t>
      </w:r>
    </w:hyperlink>
    <w:r w:rsidRPr="00CD10FC">
      <w:t xml:space="preserve"> file</w:t>
    </w:r>
  </w:p>
  <w:p w:rsidR="00AC34F1" w:rsidRPr="00CD10FC" w:rsidRDefault="00AC34F1" w:rsidP="00AC34F1">
    <w:pPr>
      <w:pStyle w:val="Footer"/>
      <w:jc w:val="center"/>
    </w:pPr>
  </w:p>
  <w:p w:rsidR="00AC34F1" w:rsidRDefault="00AC3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3C" w:rsidRDefault="00FC413C" w:rsidP="00AC34F1">
      <w:pPr>
        <w:spacing w:after="0" w:line="240" w:lineRule="auto"/>
      </w:pPr>
      <w:r>
        <w:separator/>
      </w:r>
    </w:p>
  </w:footnote>
  <w:footnote w:type="continuationSeparator" w:id="1">
    <w:p w:rsidR="00FC413C" w:rsidRDefault="00FC413C" w:rsidP="00AC3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F1" w:rsidRPr="00D93C6E" w:rsidRDefault="00AC34F1" w:rsidP="00AC34F1">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w:t>
    </w:r>
    <w:r>
      <w:rPr>
        <w:rFonts w:ascii="Times New Roman" w:hAnsi="Times New Roman" w:cs="Times New Roman"/>
      </w:rPr>
      <w:t xml:space="preserve">althcare &amp; Biomedical Research, </w:t>
    </w:r>
    <w:r w:rsidRPr="000E6688">
      <w:rPr>
        <w:rFonts w:ascii="Times New Roman" w:hAnsi="Times New Roman" w:cs="Times New Roman"/>
      </w:rPr>
      <w:t xml:space="preserve">Volume: 1, </w:t>
    </w:r>
    <w:r>
      <w:rPr>
        <w:rFonts w:ascii="Times New Roman" w:hAnsi="Times New Roman" w:cs="Times New Roman"/>
      </w:rPr>
      <w:t>Issue: 2, January 2013, P: 38-47</w:t>
    </w:r>
  </w:p>
  <w:p w:rsidR="00AC34F1" w:rsidRDefault="00AC34F1" w:rsidP="00AC34F1">
    <w:pPr>
      <w:pStyle w:val="Header"/>
    </w:pPr>
  </w:p>
  <w:p w:rsidR="00AC34F1" w:rsidRDefault="00AC3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0"/>
    <w:footnote w:id="1"/>
  </w:footnotePr>
  <w:endnotePr>
    <w:endnote w:id="0"/>
    <w:endnote w:id="1"/>
  </w:endnotePr>
  <w:compat/>
  <w:rsids>
    <w:rsidRoot w:val="00AC34F1"/>
    <w:rsid w:val="00212AE4"/>
    <w:rsid w:val="00484627"/>
    <w:rsid w:val="005F25F3"/>
    <w:rsid w:val="00AC34F1"/>
    <w:rsid w:val="00FC4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4F1"/>
  </w:style>
  <w:style w:type="paragraph" w:styleId="Footer">
    <w:name w:val="footer"/>
    <w:basedOn w:val="Normal"/>
    <w:link w:val="FooterChar"/>
    <w:uiPriority w:val="99"/>
    <w:semiHidden/>
    <w:unhideWhenUsed/>
    <w:rsid w:val="00AC34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4F1"/>
  </w:style>
  <w:style w:type="character" w:styleId="Hyperlink">
    <w:name w:val="Hyperlink"/>
    <w:basedOn w:val="DefaultParagraphFont"/>
    <w:uiPriority w:val="99"/>
    <w:unhideWhenUsed/>
    <w:rsid w:val="00AC34F1"/>
    <w:rPr>
      <w:color w:val="0000FF" w:themeColor="hyperlink"/>
      <w:u w:val="single"/>
    </w:rPr>
  </w:style>
  <w:style w:type="paragraph" w:styleId="ListParagraph">
    <w:name w:val="List Paragraph"/>
    <w:basedOn w:val="Normal"/>
    <w:uiPriority w:val="34"/>
    <w:qFormat/>
    <w:rsid w:val="00AC34F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2013-01-01T06:55:00Z</dcterms:created>
  <dcterms:modified xsi:type="dcterms:W3CDTF">2013-01-01T06:56:00Z</dcterms:modified>
</cp:coreProperties>
</file>